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1008" w14:textId="77777777" w:rsidR="00237ED6" w:rsidRPr="00636156" w:rsidRDefault="00237ED6" w:rsidP="005933AC">
      <w:pPr>
        <w:widowControl w:val="0"/>
        <w:rPr>
          <w:rFonts w:ascii="Verdana" w:hAnsi="Verdana"/>
          <w:b/>
        </w:rPr>
      </w:pPr>
      <w:r w:rsidRPr="00636156">
        <w:rPr>
          <w:rFonts w:ascii="Verdana" w:hAnsi="Verdana"/>
          <w:b/>
        </w:rPr>
        <w:t>HOLIDAY CLOSINGS</w:t>
      </w:r>
    </w:p>
    <w:p w14:paraId="2B4DF134" w14:textId="77777777" w:rsidR="00237ED6" w:rsidRPr="00636156" w:rsidRDefault="00237ED6" w:rsidP="005933AC">
      <w:pPr>
        <w:widowControl w:val="0"/>
        <w:rPr>
          <w:rFonts w:ascii="Verdana" w:hAnsi="Verdana"/>
        </w:rPr>
      </w:pPr>
    </w:p>
    <w:p w14:paraId="682B19C0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 xml:space="preserve">Libraries will close on the legal holidays set by law in Section 3-3-7 of the MS Code and </w:t>
      </w:r>
    </w:p>
    <w:p w14:paraId="5887CDFD" w14:textId="12142C44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any holidays declared by the governor.</w:t>
      </w:r>
      <w:r w:rsidR="00341507">
        <w:rPr>
          <w:rFonts w:ascii="Verdana" w:hAnsi="Verdana"/>
        </w:rPr>
        <w:t xml:space="preserve"> The Houston and Okolona libraries follow local guidance. </w:t>
      </w:r>
    </w:p>
    <w:p w14:paraId="6CF64AAF" w14:textId="77777777" w:rsidR="005933AC" w:rsidRPr="00636156" w:rsidRDefault="005933AC" w:rsidP="005933AC">
      <w:pPr>
        <w:widowControl w:val="0"/>
        <w:rPr>
          <w:rFonts w:ascii="Verdana" w:hAnsi="Verdana"/>
        </w:rPr>
      </w:pPr>
    </w:p>
    <w:p w14:paraId="3F9C0B5E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January 1</w:t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  <w:t>(New Year's Day)</w:t>
      </w:r>
    </w:p>
    <w:p w14:paraId="606CEF49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Third Monday of January</w:t>
      </w:r>
      <w:r w:rsidRPr="00636156">
        <w:rPr>
          <w:rFonts w:ascii="Verdana" w:hAnsi="Verdana"/>
        </w:rPr>
        <w:tab/>
        <w:t>(</w:t>
      </w:r>
      <w:r w:rsidR="00740629">
        <w:rPr>
          <w:rFonts w:ascii="Verdana" w:hAnsi="Verdana"/>
        </w:rPr>
        <w:t>B</w:t>
      </w:r>
      <w:r w:rsidR="00740629" w:rsidRPr="00636156">
        <w:rPr>
          <w:rFonts w:ascii="Verdana" w:hAnsi="Verdana"/>
        </w:rPr>
        <w:t>irthday</w:t>
      </w:r>
      <w:r w:rsidR="00740629">
        <w:rPr>
          <w:rFonts w:ascii="Verdana" w:hAnsi="Verdana"/>
        </w:rPr>
        <w:t>s -</w:t>
      </w:r>
      <w:r w:rsidR="00740629" w:rsidRPr="00636156">
        <w:rPr>
          <w:rFonts w:ascii="Verdana" w:hAnsi="Verdana"/>
        </w:rPr>
        <w:t xml:space="preserve"> </w:t>
      </w:r>
      <w:r w:rsidRPr="00636156">
        <w:rPr>
          <w:rFonts w:ascii="Verdana" w:hAnsi="Verdana"/>
        </w:rPr>
        <w:t>Robert E. Lee and Dr. Martin Luther King, Jr.)</w:t>
      </w:r>
    </w:p>
    <w:p w14:paraId="4E24B110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 xml:space="preserve">Third Monday of February </w:t>
      </w:r>
      <w:r w:rsidRPr="00636156">
        <w:rPr>
          <w:rFonts w:ascii="Verdana" w:hAnsi="Verdana"/>
        </w:rPr>
        <w:tab/>
        <w:t>(</w:t>
      </w:r>
      <w:smartTag w:uri="urn:schemas-microsoft-com:office:smarttags" w:element="place">
        <w:smartTag w:uri="urn:schemas-microsoft-com:office:smarttags" w:element="State">
          <w:r w:rsidRPr="00636156">
            <w:rPr>
              <w:rFonts w:ascii="Verdana" w:hAnsi="Verdana"/>
            </w:rPr>
            <w:t>Washington</w:t>
          </w:r>
        </w:smartTag>
      </w:smartTag>
      <w:r w:rsidRPr="00636156">
        <w:rPr>
          <w:rFonts w:ascii="Verdana" w:hAnsi="Verdana"/>
        </w:rPr>
        <w:t>'s birthday)</w:t>
      </w:r>
    </w:p>
    <w:p w14:paraId="70A9A214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 xml:space="preserve">Good Friday </w:t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  <w:t>(instead of the last Monday of April (Confederate Memorial Day)</w:t>
      </w:r>
    </w:p>
    <w:p w14:paraId="36BBCF5A" w14:textId="77777777" w:rsidR="005933AC" w:rsidRPr="00636156" w:rsidRDefault="002345DA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L</w:t>
      </w:r>
      <w:r w:rsidR="005933AC" w:rsidRPr="00636156">
        <w:rPr>
          <w:rFonts w:ascii="Verdana" w:hAnsi="Verdana"/>
        </w:rPr>
        <w:t>ast Monday of May</w:t>
      </w:r>
      <w:r w:rsidR="005933AC"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</w:r>
      <w:r w:rsidR="005933AC" w:rsidRPr="00636156">
        <w:rPr>
          <w:rFonts w:ascii="Verdana" w:hAnsi="Verdana"/>
        </w:rPr>
        <w:t>(National Memorial Day and Jefferson Davis' birthday)</w:t>
      </w:r>
    </w:p>
    <w:p w14:paraId="5E0E93B9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July 4</w:t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  <w:t>(Independence Day)</w:t>
      </w:r>
    </w:p>
    <w:p w14:paraId="70460CDA" w14:textId="77777777" w:rsidR="005933AC" w:rsidRPr="00636156" w:rsidRDefault="002345DA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F</w:t>
      </w:r>
      <w:r w:rsidR="005933AC" w:rsidRPr="00636156">
        <w:rPr>
          <w:rFonts w:ascii="Verdana" w:hAnsi="Verdana"/>
        </w:rPr>
        <w:t>irst Monday of September</w:t>
      </w:r>
      <w:r w:rsidR="005933AC" w:rsidRPr="00636156">
        <w:rPr>
          <w:rFonts w:ascii="Verdana" w:hAnsi="Verdana"/>
        </w:rPr>
        <w:tab/>
        <w:t>(Labor Day)</w:t>
      </w:r>
    </w:p>
    <w:p w14:paraId="4A67EF92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November 11</w:t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  <w:t>(Armistice or Veterans' Day)</w:t>
      </w:r>
    </w:p>
    <w:p w14:paraId="105E8EEE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Thanksgiving Day</w:t>
      </w:r>
    </w:p>
    <w:p w14:paraId="169E009A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December 25</w:t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</w:r>
      <w:r w:rsidRPr="00636156">
        <w:rPr>
          <w:rFonts w:ascii="Verdana" w:hAnsi="Verdana"/>
        </w:rPr>
        <w:tab/>
        <w:t>(Christmas Day)</w:t>
      </w:r>
    </w:p>
    <w:p w14:paraId="4689DA01" w14:textId="77777777" w:rsidR="005933AC" w:rsidRPr="00636156" w:rsidRDefault="005933AC" w:rsidP="005933AC">
      <w:pPr>
        <w:widowControl w:val="0"/>
        <w:rPr>
          <w:rFonts w:ascii="Verdana" w:hAnsi="Verdana"/>
        </w:rPr>
      </w:pPr>
    </w:p>
    <w:p w14:paraId="317D2BD6" w14:textId="77777777" w:rsidR="005933AC" w:rsidRPr="00636156" w:rsidRDefault="005933AC" w:rsidP="005933AC">
      <w:pPr>
        <w:widowControl w:val="0"/>
        <w:rPr>
          <w:rFonts w:ascii="Verdana" w:hAnsi="Verdana"/>
        </w:rPr>
      </w:pPr>
      <w:r w:rsidRPr="00636156">
        <w:rPr>
          <w:rFonts w:ascii="Verdana" w:hAnsi="Verdana"/>
        </w:rPr>
        <w:t>In the event any holiday falls on Sunday, the following day shall be a legal holiday.</w:t>
      </w:r>
    </w:p>
    <w:p w14:paraId="2A07718F" w14:textId="77777777" w:rsidR="005933AC" w:rsidRP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/>
        </w:rPr>
      </w:pPr>
    </w:p>
    <w:p w14:paraId="7A9C32FE" w14:textId="77777777" w:rsidR="005933AC" w:rsidRPr="00834568" w:rsidRDefault="002345DA" w:rsidP="005933AC">
      <w:pPr>
        <w:widowControl w:val="0"/>
        <w:tabs>
          <w:tab w:val="center" w:pos="4320"/>
          <w:tab w:val="right" w:pos="8640"/>
        </w:tabs>
        <w:rPr>
          <w:rFonts w:ascii="Verdana" w:hAnsi="Verdana"/>
        </w:rPr>
      </w:pPr>
      <w:r w:rsidRPr="00636156">
        <w:rPr>
          <w:rFonts w:ascii="Verdana" w:hAnsi="Verdana"/>
        </w:rPr>
        <w:t>In addition to the above, t</w:t>
      </w:r>
      <w:r w:rsidR="005933AC" w:rsidRPr="00636156">
        <w:rPr>
          <w:rFonts w:ascii="Verdana" w:hAnsi="Verdana"/>
        </w:rPr>
        <w:t xml:space="preserve">he following regulations will apply to accommodate the different schedules and staffing patterns of the branches in the library system. Branches </w:t>
      </w:r>
      <w:r w:rsidRPr="00636156">
        <w:rPr>
          <w:rFonts w:ascii="Verdana" w:hAnsi="Verdana"/>
        </w:rPr>
        <w:t>must</w:t>
      </w:r>
      <w:r w:rsidR="005933AC" w:rsidRPr="00636156">
        <w:rPr>
          <w:rFonts w:ascii="Verdana" w:hAnsi="Verdana"/>
        </w:rPr>
        <w:t xml:space="preserve"> notify Headquarters</w:t>
      </w:r>
      <w:r w:rsidR="00C03C2C" w:rsidRPr="00636156">
        <w:rPr>
          <w:rFonts w:ascii="Verdana" w:hAnsi="Verdana"/>
        </w:rPr>
        <w:t xml:space="preserve"> </w:t>
      </w:r>
      <w:r w:rsidR="00C03C2C" w:rsidRPr="00834568">
        <w:rPr>
          <w:rFonts w:ascii="Verdana" w:hAnsi="Verdana"/>
        </w:rPr>
        <w:t xml:space="preserve">(director, assistant director, administrative assistant) </w:t>
      </w:r>
      <w:r w:rsidR="005933AC" w:rsidRPr="00834568">
        <w:rPr>
          <w:rFonts w:ascii="Verdana" w:hAnsi="Verdana"/>
        </w:rPr>
        <w:t>by email of all closings.</w:t>
      </w:r>
    </w:p>
    <w:p w14:paraId="555D3561" w14:textId="77777777" w:rsidR="00C03C2C" w:rsidRPr="00834568" w:rsidRDefault="000508FB" w:rsidP="00C03C2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A6445" wp14:editId="0AB5A0B5">
                <wp:simplePos x="0" y="0"/>
                <wp:positionH relativeFrom="column">
                  <wp:posOffset>36195</wp:posOffset>
                </wp:positionH>
                <wp:positionV relativeFrom="paragraph">
                  <wp:posOffset>112395</wp:posOffset>
                </wp:positionV>
                <wp:extent cx="5114925" cy="781050"/>
                <wp:effectExtent l="7620" t="10160" r="1143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FAD0" w14:textId="77777777" w:rsidR="00C03C2C" w:rsidRPr="00834568" w:rsidRDefault="00C03C2C" w:rsidP="00C03C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3456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REMEMBER to alert your patrons in advance: </w:t>
                            </w:r>
                          </w:p>
                          <w:p w14:paraId="1E01EFAE" w14:textId="77777777" w:rsidR="00C03C2C" w:rsidRPr="00834568" w:rsidRDefault="00C03C2C" w:rsidP="00C03C2C">
                            <w:pPr>
                              <w:numPr>
                                <w:ilvl w:val="1"/>
                                <w:numId w:val="1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34568">
                              <w:rPr>
                                <w:rFonts w:ascii="Verdana" w:hAnsi="Verdana"/>
                              </w:rPr>
                              <w:t xml:space="preserve">send a notice to the paper; </w:t>
                            </w:r>
                          </w:p>
                          <w:p w14:paraId="4B54B230" w14:textId="77777777" w:rsidR="00C03C2C" w:rsidRPr="00834568" w:rsidRDefault="00C03C2C" w:rsidP="00C03C2C">
                            <w:pPr>
                              <w:numPr>
                                <w:ilvl w:val="1"/>
                                <w:numId w:val="1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textAlignment w:val="auto"/>
                              <w:rPr>
                                <w:rFonts w:ascii="Verdana" w:hAnsi="Verdana"/>
                              </w:rPr>
                            </w:pPr>
                            <w:r w:rsidRPr="00834568">
                              <w:rPr>
                                <w:rFonts w:ascii="Verdana" w:hAnsi="Verdana"/>
                              </w:rPr>
                              <w:t xml:space="preserve">post at circulation, on the doors, and social media </w:t>
                            </w:r>
                          </w:p>
                          <w:p w14:paraId="0B44BC53" w14:textId="77777777" w:rsidR="00C03C2C" w:rsidRPr="00834568" w:rsidRDefault="00C03C2C" w:rsidP="00C03C2C">
                            <w:pPr>
                              <w:numPr>
                                <w:ilvl w:val="1"/>
                                <w:numId w:val="1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textAlignment w:val="auto"/>
                              <w:rPr>
                                <w:rFonts w:ascii="Verdana" w:hAnsi="Verdana"/>
                              </w:rPr>
                            </w:pPr>
                            <w:r w:rsidRPr="00834568">
                              <w:rPr>
                                <w:rFonts w:ascii="Verdana" w:hAnsi="Verdana"/>
                              </w:rPr>
                              <w:t>Send to HQ to put on the website</w:t>
                            </w:r>
                          </w:p>
                          <w:p w14:paraId="66F96A4E" w14:textId="77777777" w:rsidR="00C03C2C" w:rsidRDefault="00C03C2C" w:rsidP="00C03C2C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ind w:left="1440"/>
                              <w:textAlignment w:val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09702E59" w14:textId="77777777" w:rsidR="00C03C2C" w:rsidRDefault="00C03C2C" w:rsidP="00C03C2C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ind w:left="1440"/>
                              <w:textAlignment w:val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2FAEB10C" w14:textId="77777777" w:rsidR="00C03C2C" w:rsidRDefault="00C03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6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5pt;margin-top:8.85pt;width:402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HKFQIAACsEAAAOAAAAZHJzL2Uyb0RvYy54bWysU1Fv0zAQfkfiP1h+p0mqlq1R02l0FCGN&#10;gTT4Aa7jNBaOz5zdJuXXc3a6rhqIB4QfLJ/v/Pnuu++WN0Nn2EGh12ArXkxyzpSVUGu7q/i3r5s3&#10;15z5IGwtDFhV8aPy/Gb1+tWyd6WaQgumVsgIxPqydxVvQ3BllnnZqk74CThlydkAdiKQibusRtET&#10;emeyaZ6/zXrA2iFI5T3d3o1Ovkr4TaNk+Nw0XgVmKk65hbRj2rdxz1ZLUe5QuFbLUxriH7LohLb0&#10;6RnqTgTB9qh/g+q0RPDQhImELoOm0VKlGqiaIn9RzWMrnEq1EDnenWny/w9WPhwe3RdkYXgHAzUw&#10;FeHdPcjvnllYt8Lu1C0i9K0SNX1cRMqy3vny9DRS7UsfQbb9J6ipyWIfIAENDXaRFaqTETo14Hgm&#10;XQ2BSbqcF8VsMZ1zJsl3dV3k89SVTJRPrx368EFBx+Kh4khNTejicO9DzEaUTyHxMw9G1xttTDJw&#10;t10bZAdBAtiklQp4EWYs6yu+mFMef4fI0/oTRKcDKdnoruLX5yBRRtre2zrpLAhtxjOlbOyJx0jd&#10;SGIYtgMFRj63UB+JUYRRsTRhdGgBf3LWk1or7n/sBSrOzEdLXVkUs1mUdzJm86spGXjp2V56hJUE&#10;VfHA2Xhch3Ek9g71rqWfRh1YuKVONjqR/JzVKW9SZOL+ND1R8pd2inqe8dUvAAAA//8DAFBLAwQU&#10;AAYACAAAACEAUkZ82d4AAAAIAQAADwAAAGRycy9kb3ducmV2LnhtbEyPQU/DMAyF70j8h8hIXNCW&#10;doy1lKYTQgKxG2wIrlnrtRWJU5KsK/8ec4KT5feenj+X68kaMaIPvSMF6TwBgVS7pqdWwdvucZaD&#10;CFFTo40jVPCNAdbV+Vmpi8ad6BXHbWwFl1AotIIuxqGQMtQdWh3mbkBi7+C81ZFX38rG6xOXWyMX&#10;SbKSVvfEFzo94EOH9ef2aBXky+fxI2yuX97r1cHcxqtsfPrySl1eTPd3ICJO8S8Mv/iMDhUz7d2R&#10;miCMgpuMgyxnPNnO03QBYs/CMslAVqX8/0D1AwAA//8DAFBLAQItABQABgAIAAAAIQC2gziS/gAA&#10;AOEBAAATAAAAAAAAAAAAAAAAAAAAAABbQ29udGVudF9UeXBlc10ueG1sUEsBAi0AFAAGAAgAAAAh&#10;ADj9If/WAAAAlAEAAAsAAAAAAAAAAAAAAAAALwEAAF9yZWxzLy5yZWxzUEsBAi0AFAAGAAgAAAAh&#10;ANL5YcoVAgAAKwQAAA4AAAAAAAAAAAAAAAAALgIAAGRycy9lMm9Eb2MueG1sUEsBAi0AFAAGAAgA&#10;AAAhAFJGfNneAAAACAEAAA8AAAAAAAAAAAAAAAAAbwQAAGRycy9kb3ducmV2LnhtbFBLBQYAAAAA&#10;BAAEAPMAAAB6BQAAAAA=&#10;">
                <v:textbox>
                  <w:txbxContent>
                    <w:p w14:paraId="5EEBFAD0" w14:textId="77777777" w:rsidR="00C03C2C" w:rsidRPr="00834568" w:rsidRDefault="00C03C2C" w:rsidP="00C03C2C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3456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REMEMBER to alert your patrons in advance: </w:t>
                      </w:r>
                    </w:p>
                    <w:p w14:paraId="1E01EFAE" w14:textId="77777777" w:rsidR="00C03C2C" w:rsidRPr="00834568" w:rsidRDefault="00C03C2C" w:rsidP="00C03C2C">
                      <w:pPr>
                        <w:numPr>
                          <w:ilvl w:val="1"/>
                          <w:numId w:val="1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34568">
                        <w:rPr>
                          <w:rFonts w:ascii="Verdana" w:hAnsi="Verdana"/>
                        </w:rPr>
                        <w:t xml:space="preserve">send a notice to the paper; </w:t>
                      </w:r>
                    </w:p>
                    <w:p w14:paraId="4B54B230" w14:textId="77777777" w:rsidR="00C03C2C" w:rsidRPr="00834568" w:rsidRDefault="00C03C2C" w:rsidP="00C03C2C">
                      <w:pPr>
                        <w:numPr>
                          <w:ilvl w:val="1"/>
                          <w:numId w:val="1"/>
                        </w:numPr>
                        <w:overflowPunct/>
                        <w:autoSpaceDE/>
                        <w:autoSpaceDN/>
                        <w:adjustRightInd/>
                        <w:spacing w:before="100" w:beforeAutospacing="1" w:after="100" w:afterAutospacing="1"/>
                        <w:textAlignment w:val="auto"/>
                        <w:rPr>
                          <w:rFonts w:ascii="Verdana" w:hAnsi="Verdana"/>
                        </w:rPr>
                      </w:pPr>
                      <w:r w:rsidRPr="00834568">
                        <w:rPr>
                          <w:rFonts w:ascii="Verdana" w:hAnsi="Verdana"/>
                        </w:rPr>
                        <w:t xml:space="preserve">post at circulation, on the doors, and social media </w:t>
                      </w:r>
                    </w:p>
                    <w:p w14:paraId="0B44BC53" w14:textId="77777777" w:rsidR="00C03C2C" w:rsidRPr="00834568" w:rsidRDefault="00C03C2C" w:rsidP="00C03C2C">
                      <w:pPr>
                        <w:numPr>
                          <w:ilvl w:val="1"/>
                          <w:numId w:val="1"/>
                        </w:numPr>
                        <w:overflowPunct/>
                        <w:autoSpaceDE/>
                        <w:autoSpaceDN/>
                        <w:adjustRightInd/>
                        <w:spacing w:before="100" w:beforeAutospacing="1" w:after="100" w:afterAutospacing="1"/>
                        <w:textAlignment w:val="auto"/>
                        <w:rPr>
                          <w:rFonts w:ascii="Verdana" w:hAnsi="Verdana"/>
                        </w:rPr>
                      </w:pPr>
                      <w:r w:rsidRPr="00834568">
                        <w:rPr>
                          <w:rFonts w:ascii="Verdana" w:hAnsi="Verdana"/>
                        </w:rPr>
                        <w:t>Send to HQ to put on the website</w:t>
                      </w:r>
                    </w:p>
                    <w:p w14:paraId="66F96A4E" w14:textId="77777777" w:rsidR="00C03C2C" w:rsidRDefault="00C03C2C" w:rsidP="00C03C2C">
                      <w:pPr>
                        <w:overflowPunct/>
                        <w:autoSpaceDE/>
                        <w:autoSpaceDN/>
                        <w:adjustRightInd/>
                        <w:spacing w:before="100" w:beforeAutospacing="1" w:after="100" w:afterAutospacing="1"/>
                        <w:ind w:left="1440"/>
                        <w:textAlignment w:val="auto"/>
                        <w:rPr>
                          <w:rFonts w:ascii="Verdana" w:hAnsi="Verdana"/>
                        </w:rPr>
                      </w:pPr>
                    </w:p>
                    <w:p w14:paraId="09702E59" w14:textId="77777777" w:rsidR="00C03C2C" w:rsidRDefault="00C03C2C" w:rsidP="00C03C2C">
                      <w:pPr>
                        <w:overflowPunct/>
                        <w:autoSpaceDE/>
                        <w:autoSpaceDN/>
                        <w:adjustRightInd/>
                        <w:spacing w:before="100" w:beforeAutospacing="1" w:after="100" w:afterAutospacing="1"/>
                        <w:ind w:left="1440"/>
                        <w:textAlignment w:val="auto"/>
                        <w:rPr>
                          <w:rFonts w:ascii="Verdana" w:hAnsi="Verdana"/>
                        </w:rPr>
                      </w:pPr>
                    </w:p>
                    <w:p w14:paraId="2FAEB10C" w14:textId="77777777" w:rsidR="00C03C2C" w:rsidRDefault="00C03C2C"/>
                  </w:txbxContent>
                </v:textbox>
              </v:shape>
            </w:pict>
          </mc:Fallback>
        </mc:AlternateContent>
      </w:r>
    </w:p>
    <w:p w14:paraId="73D5B4DC" w14:textId="77777777" w:rsidR="00C03C2C" w:rsidRPr="00834568" w:rsidRDefault="00C03C2C" w:rsidP="00C03C2C">
      <w:pPr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Verdana" w:hAnsi="Verdana"/>
        </w:rPr>
      </w:pPr>
    </w:p>
    <w:p w14:paraId="688847F7" w14:textId="77777777" w:rsidR="005933AC" w:rsidRPr="002345DA" w:rsidRDefault="005933AC" w:rsidP="005933AC">
      <w:pPr>
        <w:widowControl w:val="0"/>
        <w:tabs>
          <w:tab w:val="center" w:pos="4320"/>
          <w:tab w:val="right" w:pos="8640"/>
        </w:tabs>
        <w:rPr>
          <w:rFonts w:ascii="Franklin Gothic Book" w:hAnsi="Franklin Gothic Book"/>
          <w:sz w:val="22"/>
          <w:szCs w:val="22"/>
        </w:rPr>
      </w:pPr>
    </w:p>
    <w:p w14:paraId="4F3DCC3C" w14:textId="77777777" w:rsidR="00C03C2C" w:rsidRDefault="00C03C2C" w:rsidP="005933AC">
      <w:pPr>
        <w:widowControl w:val="0"/>
        <w:tabs>
          <w:tab w:val="center" w:pos="4320"/>
          <w:tab w:val="right" w:pos="8640"/>
        </w:tabs>
        <w:rPr>
          <w:rFonts w:ascii="Franklin Gothic Book" w:hAnsi="Franklin Gothic Book"/>
          <w:sz w:val="22"/>
          <w:szCs w:val="22"/>
        </w:rPr>
      </w:pPr>
    </w:p>
    <w:p w14:paraId="10D0FD28" w14:textId="77777777" w:rsidR="00C03C2C" w:rsidRDefault="00C03C2C" w:rsidP="005933AC">
      <w:pPr>
        <w:widowControl w:val="0"/>
        <w:tabs>
          <w:tab w:val="center" w:pos="4320"/>
          <w:tab w:val="right" w:pos="8640"/>
        </w:tabs>
        <w:rPr>
          <w:rFonts w:ascii="Franklin Gothic Book" w:hAnsi="Franklin Gothic Book"/>
          <w:sz w:val="22"/>
          <w:szCs w:val="22"/>
        </w:rPr>
      </w:pPr>
    </w:p>
    <w:p w14:paraId="3C8C9576" w14:textId="77777777" w:rsidR="005933AC" w:rsidRP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/>
        </w:rPr>
      </w:pPr>
      <w:r w:rsidRPr="00636156">
        <w:rPr>
          <w:rFonts w:ascii="Verdana" w:hAnsi="Verdana"/>
        </w:rPr>
        <w:t>If a holiday falls on a Saturday, libraries shall be closed Friday OR Monday.</w:t>
      </w:r>
    </w:p>
    <w:p w14:paraId="784EB6F7" w14:textId="77777777" w:rsidR="005933AC" w:rsidRP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/>
        </w:rPr>
      </w:pPr>
    </w:p>
    <w:p w14:paraId="7ECE1F88" w14:textId="77777777" w:rsidR="005933AC" w:rsidRP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 w:cs="Arial"/>
        </w:rPr>
      </w:pPr>
      <w:r w:rsidRPr="00636156">
        <w:rPr>
          <w:rFonts w:ascii="Verdana" w:hAnsi="Verdana" w:cs="Arial"/>
        </w:rPr>
        <w:t>If a holiday falls on a day a library is normally closed, the library may close either the workday immediately preceding or following the holiday.</w:t>
      </w:r>
    </w:p>
    <w:p w14:paraId="449CA3B6" w14:textId="77777777" w:rsidR="005933AC" w:rsidRP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 w:cs="Arial"/>
        </w:rPr>
      </w:pPr>
    </w:p>
    <w:p w14:paraId="484147F8" w14:textId="77777777" w:rsidR="005933AC" w:rsidRP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 w:cs="Arial"/>
        </w:rPr>
      </w:pPr>
      <w:r w:rsidRPr="00636156">
        <w:rPr>
          <w:rFonts w:ascii="Verdana" w:hAnsi="Verdana" w:cs="Arial"/>
        </w:rPr>
        <w:t>If all employees are on leave on days adjacent to a holiday, the library may close</w:t>
      </w:r>
      <w:r w:rsidR="00636156">
        <w:rPr>
          <w:rFonts w:ascii="Verdana" w:hAnsi="Verdana" w:cs="Arial"/>
        </w:rPr>
        <w:t xml:space="preserve"> </w:t>
      </w:r>
      <w:r w:rsidR="00636156" w:rsidRPr="00834568">
        <w:rPr>
          <w:rFonts w:ascii="Verdana" w:hAnsi="Verdana" w:cs="Arial"/>
        </w:rPr>
        <w:t>(with director approval)</w:t>
      </w:r>
      <w:r w:rsidRPr="00834568">
        <w:rPr>
          <w:rFonts w:ascii="Verdana" w:hAnsi="Verdana" w:cs="Arial"/>
        </w:rPr>
        <w:t>.</w:t>
      </w:r>
    </w:p>
    <w:p w14:paraId="0B72E08B" w14:textId="77777777" w:rsidR="005933AC" w:rsidRP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/>
        </w:rPr>
      </w:pPr>
    </w:p>
    <w:p w14:paraId="511CFA1B" w14:textId="77777777" w:rsidR="005933AC" w:rsidRPr="00636156" w:rsidRDefault="00B60183" w:rsidP="005933AC">
      <w:pPr>
        <w:widowControl w:val="0"/>
        <w:tabs>
          <w:tab w:val="center" w:pos="4320"/>
          <w:tab w:val="right" w:pos="8640"/>
        </w:tabs>
        <w:rPr>
          <w:rFonts w:ascii="Verdana" w:hAnsi="Verdana"/>
        </w:rPr>
      </w:pPr>
      <w:r w:rsidRPr="00636156">
        <w:rPr>
          <w:rFonts w:ascii="Verdana" w:hAnsi="Verdana"/>
        </w:rPr>
        <w:t xml:space="preserve">Vacation may be taken to include any state holiday. Holidays falling during a vacation period are not counted against personal leave. </w:t>
      </w:r>
      <w:r w:rsidR="00EF0748" w:rsidRPr="00636156">
        <w:rPr>
          <w:rFonts w:ascii="Verdana" w:hAnsi="Verdana"/>
        </w:rPr>
        <w:t>Any employee taking vacation added to a holiday must work out a schedule with the supervisor. The supervisor should rotate vacation</w:t>
      </w:r>
      <w:r w:rsidR="00F62388" w:rsidRPr="00636156">
        <w:rPr>
          <w:rFonts w:ascii="Verdana" w:hAnsi="Verdana"/>
        </w:rPr>
        <w:t xml:space="preserve"> with </w:t>
      </w:r>
      <w:r w:rsidR="00EF0748" w:rsidRPr="00636156">
        <w:rPr>
          <w:rFonts w:ascii="Verdana" w:hAnsi="Verdana"/>
        </w:rPr>
        <w:t>holid</w:t>
      </w:r>
      <w:r w:rsidR="00F62388" w:rsidRPr="00636156">
        <w:rPr>
          <w:rFonts w:ascii="Verdana" w:hAnsi="Verdana"/>
        </w:rPr>
        <w:t>ay leave within the department, so that no employee monopolizes this benefit.</w:t>
      </w:r>
    </w:p>
    <w:p w14:paraId="5FB3ADD5" w14:textId="77777777" w:rsidR="005933AC" w:rsidRP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/>
        </w:rPr>
      </w:pPr>
    </w:p>
    <w:p w14:paraId="7D571C88" w14:textId="77777777" w:rsid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/>
        </w:rPr>
      </w:pPr>
      <w:r w:rsidRPr="00636156">
        <w:rPr>
          <w:rFonts w:ascii="Verdana" w:hAnsi="Verdana"/>
        </w:rPr>
        <w:t xml:space="preserve">Replaces previous policies: </w:t>
      </w:r>
    </w:p>
    <w:p w14:paraId="11EE7748" w14:textId="77777777" w:rsidR="005933AC" w:rsidRPr="00636156" w:rsidRDefault="005933AC" w:rsidP="005933AC">
      <w:pPr>
        <w:widowControl w:val="0"/>
        <w:tabs>
          <w:tab w:val="center" w:pos="4320"/>
          <w:tab w:val="right" w:pos="8640"/>
        </w:tabs>
        <w:rPr>
          <w:rFonts w:ascii="Verdana" w:hAnsi="Verdana"/>
        </w:rPr>
      </w:pPr>
      <w:r w:rsidRPr="00636156">
        <w:rPr>
          <w:rFonts w:ascii="Verdana" w:hAnsi="Verdana"/>
        </w:rPr>
        <w:t>2nd Revised Edition 1984, 9408-A, 9806-A, 0203-A, 02-12-A; 03-06-B.</w:t>
      </w:r>
    </w:p>
    <w:p w14:paraId="0462D1F6" w14:textId="77777777" w:rsidR="00212E25" w:rsidRPr="002345DA" w:rsidRDefault="00212E25">
      <w:pPr>
        <w:rPr>
          <w:rFonts w:ascii="Franklin Gothic Book" w:hAnsi="Franklin Gothic Book"/>
          <w:sz w:val="22"/>
          <w:szCs w:val="22"/>
        </w:rPr>
      </w:pPr>
    </w:p>
    <w:p w14:paraId="5E1D84CF" w14:textId="77777777" w:rsidR="001674FA" w:rsidRDefault="001674FA">
      <w:pPr>
        <w:rPr>
          <w:rFonts w:ascii="Franklin Gothic Book" w:hAnsi="Franklin Gothic Book"/>
          <w:sz w:val="22"/>
          <w:szCs w:val="22"/>
        </w:rPr>
      </w:pPr>
      <w:r w:rsidRPr="002345DA">
        <w:rPr>
          <w:rFonts w:ascii="Franklin Gothic Book" w:hAnsi="Franklin Gothic Book"/>
          <w:sz w:val="22"/>
          <w:szCs w:val="22"/>
        </w:rPr>
        <w:t>ADOPTED:  DRLS Board, 4/8/08</w:t>
      </w:r>
    </w:p>
    <w:p w14:paraId="2D7CED1D" w14:textId="77777777" w:rsidR="00636156" w:rsidRDefault="0063615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REVISED &amp; ADOPTED: DRLS Board, 9/12/13</w:t>
      </w:r>
    </w:p>
    <w:p w14:paraId="2CA14B4D" w14:textId="77777777" w:rsidR="00B2144F" w:rsidRDefault="00B2144F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REVIEW</w:t>
      </w:r>
      <w:r w:rsidR="009830AD">
        <w:rPr>
          <w:rFonts w:ascii="Franklin Gothic Book" w:hAnsi="Franklin Gothic Book"/>
          <w:sz w:val="22"/>
          <w:szCs w:val="22"/>
        </w:rPr>
        <w:t>E</w:t>
      </w:r>
      <w:r>
        <w:rPr>
          <w:rFonts w:ascii="Franklin Gothic Book" w:hAnsi="Franklin Gothic Book"/>
          <w:sz w:val="22"/>
          <w:szCs w:val="22"/>
        </w:rPr>
        <w:t xml:space="preserve">D &amp; </w:t>
      </w:r>
      <w:r w:rsidR="009830AD">
        <w:rPr>
          <w:rFonts w:ascii="Franklin Gothic Book" w:hAnsi="Franklin Gothic Book"/>
          <w:sz w:val="22"/>
          <w:szCs w:val="22"/>
        </w:rPr>
        <w:t>RETAINED: DRLS Board, 08-16-2016</w:t>
      </w:r>
    </w:p>
    <w:p w14:paraId="31E8CC8E" w14:textId="14A1E448" w:rsidR="000E50AB" w:rsidRDefault="000E50AB" w:rsidP="000E50A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REVIEWED &amp; RETAINED: DRLS Board, 11/12/2019</w:t>
      </w:r>
    </w:p>
    <w:p w14:paraId="2378315C" w14:textId="09A50F6F" w:rsidR="00C03C2C" w:rsidRPr="002345DA" w:rsidRDefault="0034150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REVISED &amp; ADOPTED: DRLS Board, </w:t>
      </w:r>
      <w:r>
        <w:rPr>
          <w:rFonts w:ascii="Franklin Gothic Book" w:hAnsi="Franklin Gothic Book"/>
          <w:sz w:val="22"/>
          <w:szCs w:val="22"/>
        </w:rPr>
        <w:t>8/13/2024</w:t>
      </w:r>
    </w:p>
    <w:sectPr w:rsidR="00C03C2C" w:rsidRPr="002345DA" w:rsidSect="00636156">
      <w:headerReference w:type="default" r:id="rId7"/>
      <w:footerReference w:type="default" r:id="rId8"/>
      <w:pgSz w:w="12240" w:h="15840"/>
      <w:pgMar w:top="1440" w:right="1152" w:bottom="1440" w:left="1440" w:header="720" w:footer="15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5613" w14:textId="77777777" w:rsidR="00C03C2C" w:rsidRDefault="00C03C2C">
      <w:r>
        <w:separator/>
      </w:r>
    </w:p>
  </w:endnote>
  <w:endnote w:type="continuationSeparator" w:id="0">
    <w:p w14:paraId="228F46E9" w14:textId="77777777" w:rsidR="00C03C2C" w:rsidRDefault="00C0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6D95" w14:textId="77777777" w:rsidR="00C03C2C" w:rsidRDefault="00C03C2C">
    <w:pPr>
      <w:widowControl w:val="0"/>
      <w:tabs>
        <w:tab w:val="center" w:pos="4320"/>
        <w:tab w:val="right" w:pos="8640"/>
      </w:tabs>
      <w:rPr>
        <w:sz w:val="24"/>
      </w:rPr>
    </w:pPr>
  </w:p>
  <w:p w14:paraId="578ACB8A" w14:textId="77777777" w:rsidR="00C03C2C" w:rsidRDefault="00C03C2C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F9F8" w14:textId="77777777" w:rsidR="00C03C2C" w:rsidRDefault="00C03C2C">
      <w:r>
        <w:separator/>
      </w:r>
    </w:p>
  </w:footnote>
  <w:footnote w:type="continuationSeparator" w:id="0">
    <w:p w14:paraId="0E5E4F5C" w14:textId="77777777" w:rsidR="00C03C2C" w:rsidRDefault="00C0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2E35" w14:textId="0CAEDD32" w:rsidR="00C03C2C" w:rsidRDefault="005E485C" w:rsidP="005065AE">
    <w:pPr>
      <w:pStyle w:val="Header"/>
      <w:tabs>
        <w:tab w:val="clear" w:pos="4320"/>
        <w:tab w:val="clear" w:pos="8640"/>
        <w:tab w:val="center" w:pos="4824"/>
        <w:tab w:val="right" w:pos="9648"/>
      </w:tabs>
    </w:pPr>
    <w:r>
      <w:t>HOLIDAY POLICY</w:t>
    </w:r>
    <w:r>
      <w:tab/>
    </w:r>
    <w:r>
      <w:tab/>
    </w:r>
    <w:r w:rsidR="000E50AB">
      <w:t>R</w:t>
    </w:r>
    <w:r w:rsidR="00341507">
      <w:t>EVISED</w:t>
    </w:r>
    <w:r>
      <w:t xml:space="preserve"> DRLS Board:  </w:t>
    </w:r>
    <w:r w:rsidR="00341507">
      <w:t>8-13-2024</w:t>
    </w:r>
  </w:p>
  <w:p w14:paraId="0DAF6D51" w14:textId="77777777" w:rsidR="005065AE" w:rsidRDefault="005065AE" w:rsidP="007E5739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62A1"/>
    <w:multiLevelType w:val="multilevel"/>
    <w:tmpl w:val="EA3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4069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C"/>
    <w:rsid w:val="000039BB"/>
    <w:rsid w:val="000508FB"/>
    <w:rsid w:val="000E50AB"/>
    <w:rsid w:val="001674FA"/>
    <w:rsid w:val="001C0840"/>
    <w:rsid w:val="00212E25"/>
    <w:rsid w:val="002345DA"/>
    <w:rsid w:val="00237ED6"/>
    <w:rsid w:val="00251D10"/>
    <w:rsid w:val="00257D81"/>
    <w:rsid w:val="00341507"/>
    <w:rsid w:val="003955A2"/>
    <w:rsid w:val="00401210"/>
    <w:rsid w:val="005065AE"/>
    <w:rsid w:val="00514623"/>
    <w:rsid w:val="005804B6"/>
    <w:rsid w:val="005933AC"/>
    <w:rsid w:val="0059399C"/>
    <w:rsid w:val="005E485C"/>
    <w:rsid w:val="00623950"/>
    <w:rsid w:val="00634C5A"/>
    <w:rsid w:val="00636156"/>
    <w:rsid w:val="00644736"/>
    <w:rsid w:val="006B6DC2"/>
    <w:rsid w:val="006C5021"/>
    <w:rsid w:val="00740629"/>
    <w:rsid w:val="007E5739"/>
    <w:rsid w:val="00801A9C"/>
    <w:rsid w:val="00834568"/>
    <w:rsid w:val="0086641D"/>
    <w:rsid w:val="008B133B"/>
    <w:rsid w:val="00902A88"/>
    <w:rsid w:val="00927D0A"/>
    <w:rsid w:val="009830AD"/>
    <w:rsid w:val="00A45856"/>
    <w:rsid w:val="00AE0C56"/>
    <w:rsid w:val="00B2144F"/>
    <w:rsid w:val="00B46FAC"/>
    <w:rsid w:val="00B60183"/>
    <w:rsid w:val="00B97516"/>
    <w:rsid w:val="00BF0065"/>
    <w:rsid w:val="00C03C2C"/>
    <w:rsid w:val="00C45771"/>
    <w:rsid w:val="00D907DD"/>
    <w:rsid w:val="00D9490B"/>
    <w:rsid w:val="00EF0748"/>
    <w:rsid w:val="00F62388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C57401"/>
  <w15:docId w15:val="{30B7D470-3125-4EC2-A6F9-BF41244D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A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5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74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74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03C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E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Libraries will close on the legal holidays set by law in Section 3-3-7 of the MS Code and</vt:lpstr>
    </vt:vector>
  </TitlesOfParts>
  <Company>Dixie Regional Library System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Libraries will close on the legal holidays set by law in Section 3-3-7 of the MS Code and</dc:title>
  <dc:subject/>
  <dc:creator>Judy</dc:creator>
  <cp:keywords/>
  <cp:lastModifiedBy>Emily Sutherland DIXIE</cp:lastModifiedBy>
  <cp:revision>2</cp:revision>
  <cp:lastPrinted>2013-09-06T17:43:00Z</cp:lastPrinted>
  <dcterms:created xsi:type="dcterms:W3CDTF">2024-08-22T13:56:00Z</dcterms:created>
  <dcterms:modified xsi:type="dcterms:W3CDTF">2024-08-22T13:56:00Z</dcterms:modified>
</cp:coreProperties>
</file>